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Open Sans" w:cs="Open Sans" w:eastAsia="Open Sans" w:hAnsi="Open Sans"/>
          <w:i w:val="1"/>
          <w:color w:val="09253a"/>
          <w:sz w:val="20"/>
          <w:szCs w:val="20"/>
        </w:rPr>
      </w:pPr>
      <w:r w:rsidDel="00000000" w:rsidR="00000000" w:rsidRPr="00000000">
        <w:rPr>
          <w:rFonts w:ascii="Open Sans" w:cs="Open Sans" w:eastAsia="Open Sans" w:hAnsi="Open Sans"/>
          <w:i w:val="1"/>
          <w:color w:val="09253a"/>
          <w:sz w:val="20"/>
          <w:szCs w:val="20"/>
          <w:rtl w:val="0"/>
        </w:rPr>
        <w:t xml:space="preserve">Desde Félix Solís deseamos comunicar que:</w:t>
      </w:r>
    </w:p>
    <w:p w:rsidR="00000000" w:rsidDel="00000000" w:rsidP="00000000" w:rsidRDefault="00000000" w:rsidRPr="00000000" w14:paraId="0000000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Open Sans" w:cs="Open Sans" w:eastAsia="Open Sans" w:hAnsi="Open Sans"/>
          <w:i w:val="1"/>
          <w:color w:val="09253a"/>
          <w:sz w:val="20"/>
          <w:szCs w:val="20"/>
        </w:rPr>
      </w:pPr>
      <w:r w:rsidDel="00000000" w:rsidR="00000000" w:rsidRPr="00000000">
        <w:rPr>
          <w:rFonts w:ascii="Open Sans" w:cs="Open Sans" w:eastAsia="Open Sans" w:hAnsi="Open Sans"/>
          <w:i w:val="1"/>
          <w:color w:val="09253a"/>
          <w:sz w:val="20"/>
          <w:szCs w:val="20"/>
          <w:rtl w:val="0"/>
        </w:rPr>
        <w:t xml:space="preserve">La compañía ha acudido a declarar hoy, 29 de abril, en el Juzgado de Instrucción número 4 de la Audiencia Nacional, en el marco de la investigación a varias bodegas de la D.O. Valdepeñas.</w:t>
      </w:r>
    </w:p>
    <w:p w:rsidR="00000000" w:rsidDel="00000000" w:rsidP="00000000" w:rsidRDefault="00000000" w:rsidRPr="00000000" w14:paraId="0000000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Open Sans" w:cs="Open Sans" w:eastAsia="Open Sans" w:hAnsi="Open Sans"/>
          <w:i w:val="1"/>
          <w:color w:val="09253a"/>
          <w:sz w:val="20"/>
          <w:szCs w:val="20"/>
        </w:rPr>
      </w:pPr>
      <w:r w:rsidDel="00000000" w:rsidR="00000000" w:rsidRPr="00000000">
        <w:rPr>
          <w:rFonts w:ascii="Open Sans" w:cs="Open Sans" w:eastAsia="Open Sans" w:hAnsi="Open Sans"/>
          <w:i w:val="1"/>
          <w:color w:val="09253a"/>
          <w:sz w:val="20"/>
          <w:szCs w:val="20"/>
          <w:rtl w:val="0"/>
        </w:rPr>
        <w:t xml:space="preserve">Como miembro de la D.O. Valdepeñas, durante sus más de 70 años de historia, Félix Solís ha estado firmemente comprometido con el cumplimiento de los requisitos del pliego de condiciones de la denominación, que garantizan la alta calidad de nuestros vinos.</w:t>
      </w:r>
    </w:p>
    <w:p w:rsidR="00000000" w:rsidDel="00000000" w:rsidP="00000000" w:rsidRDefault="00000000" w:rsidRPr="00000000" w14:paraId="0000000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Open Sans" w:cs="Open Sans" w:eastAsia="Open Sans" w:hAnsi="Open Sans"/>
          <w:i w:val="1"/>
          <w:color w:val="09253a"/>
          <w:sz w:val="20"/>
          <w:szCs w:val="20"/>
        </w:rPr>
      </w:pPr>
      <w:r w:rsidDel="00000000" w:rsidR="00000000" w:rsidRPr="00000000">
        <w:rPr>
          <w:rFonts w:ascii="Open Sans" w:cs="Open Sans" w:eastAsia="Open Sans" w:hAnsi="Open Sans"/>
          <w:i w:val="1"/>
          <w:color w:val="09253a"/>
          <w:sz w:val="20"/>
          <w:szCs w:val="20"/>
          <w:rtl w:val="0"/>
        </w:rPr>
        <w:t xml:space="preserve">En línea con su compromiso con la D.O. Valdepeñas, Félix Solís realiza adecuadamente las declaraciones de aptitud para todas las cantidades de vino producidas para su comercialización. Estas cantidades comercializadas anualmente por nuestra compañía son siempre comunicadas debidamente a los organismos oficiales de control, cumpliendo con la normativa vigente.</w:t>
      </w:r>
    </w:p>
    <w:p w:rsidR="00000000" w:rsidDel="00000000" w:rsidP="00000000" w:rsidRDefault="00000000" w:rsidRPr="00000000" w14:paraId="0000000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200" w:before="0" w:line="240" w:lineRule="auto"/>
        <w:ind w:left="720" w:right="0" w:hanging="360"/>
        <w:jc w:val="left"/>
        <w:rPr>
          <w:rFonts w:ascii="Open Sans" w:cs="Open Sans" w:eastAsia="Open Sans" w:hAnsi="Open Sans"/>
          <w:i w:val="1"/>
          <w:color w:val="09253a"/>
          <w:sz w:val="20"/>
          <w:szCs w:val="20"/>
        </w:rPr>
      </w:pPr>
      <w:r w:rsidDel="00000000" w:rsidR="00000000" w:rsidRPr="00000000">
        <w:rPr>
          <w:rFonts w:ascii="Open Sans" w:cs="Open Sans" w:eastAsia="Open Sans" w:hAnsi="Open Sans"/>
          <w:i w:val="1"/>
          <w:color w:val="09253a"/>
          <w:sz w:val="20"/>
          <w:szCs w:val="20"/>
          <w:rtl w:val="0"/>
        </w:rPr>
        <w:t xml:space="preserve">Félix Solís, que ha mantenido en todo momento su colaboración con la justicia durante la investigación, ha tenido así la ocasión de aclarar los errores y omisiones de la investigación, con la esperanza de que todo se resuelva favorablemente lo antes posible.</w:t>
      </w:r>
      <w:r w:rsidDel="00000000" w:rsidR="00000000" w:rsidRPr="00000000">
        <w:rPr>
          <w:rtl w:val="0"/>
        </w:rPr>
      </w:r>
    </w:p>
    <w:sectPr>
      <w:pgSz w:h="15840" w:w="12240" w:orient="portrait"/>
      <w:pgMar w:bottom="1440.0000000000002" w:top="1440.0000000000002" w:left="1440.0000000000002" w:right="1440.000000000000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Open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right"/>
      <w:pPr>
        <w:ind w:left="720" w:hanging="360"/>
      </w:pPr>
      <w:rPr>
        <w:rFonts w:ascii="Arial" w:cs="Arial" w:eastAsia="Arial" w:hAnsi="Arial"/>
        <w:b w:val="0"/>
        <w:i w:val="0"/>
        <w:smallCaps w:val="0"/>
        <w:strike w:val="0"/>
        <w:color w:val="000000"/>
        <w:sz w:val="28"/>
        <w:szCs w:val="28"/>
        <w:u w:val="none"/>
        <w:shd w:fill="auto" w:val="clear"/>
        <w:vertAlign w:val="baseline"/>
      </w:rPr>
    </w:lvl>
    <w:lvl w:ilvl="1">
      <w:start w:val="1"/>
      <w:numFmt w:val="bullet"/>
      <w:lvlText w:val="○"/>
      <w:lvlJc w:val="right"/>
      <w:pPr>
        <w:ind w:left="1440" w:hanging="360"/>
      </w:pPr>
      <w:rPr>
        <w:rFonts w:ascii="Arial" w:cs="Arial" w:eastAsia="Arial" w:hAnsi="Arial"/>
        <w:b w:val="0"/>
        <w:i w:val="0"/>
        <w:smallCaps w:val="0"/>
        <w:strike w:val="0"/>
        <w:color w:val="000000"/>
        <w:sz w:val="28"/>
        <w:szCs w:val="28"/>
        <w:u w:val="none"/>
        <w:shd w:fill="auto" w:val="clear"/>
        <w:vertAlign w:val="baseline"/>
      </w:rPr>
    </w:lvl>
    <w:lvl w:ilvl="2">
      <w:start w:val="1"/>
      <w:numFmt w:val="bullet"/>
      <w:lvlText w:val="■"/>
      <w:lvlJc w:val="right"/>
      <w:pPr>
        <w:ind w:left="2160" w:hanging="360"/>
      </w:pPr>
      <w:rPr>
        <w:rFonts w:ascii="Arial" w:cs="Arial" w:eastAsia="Arial" w:hAnsi="Arial"/>
        <w:b w:val="0"/>
        <w:i w:val="0"/>
        <w:smallCaps w:val="0"/>
        <w:strike w:val="0"/>
        <w:color w:val="000000"/>
        <w:sz w:val="28"/>
        <w:szCs w:val="28"/>
        <w:u w:val="none"/>
        <w:shd w:fill="auto" w:val="clear"/>
        <w:vertAlign w:val="baseline"/>
      </w:rPr>
    </w:lvl>
    <w:lvl w:ilvl="3">
      <w:start w:val="1"/>
      <w:numFmt w:val="bullet"/>
      <w:lvlText w:val="●"/>
      <w:lvlJc w:val="right"/>
      <w:pPr>
        <w:ind w:left="2880" w:hanging="360"/>
      </w:pPr>
      <w:rPr>
        <w:rFonts w:ascii="Arial" w:cs="Arial" w:eastAsia="Arial" w:hAnsi="Arial"/>
        <w:b w:val="0"/>
        <w:i w:val="0"/>
        <w:smallCaps w:val="0"/>
        <w:strike w:val="0"/>
        <w:color w:val="000000"/>
        <w:sz w:val="28"/>
        <w:szCs w:val="28"/>
        <w:u w:val="none"/>
        <w:shd w:fill="auto" w:val="clear"/>
        <w:vertAlign w:val="baseline"/>
      </w:rPr>
    </w:lvl>
    <w:lvl w:ilvl="4">
      <w:start w:val="1"/>
      <w:numFmt w:val="bullet"/>
      <w:lvlText w:val="○"/>
      <w:lvlJc w:val="right"/>
      <w:pPr>
        <w:ind w:left="3600" w:hanging="360"/>
      </w:pPr>
      <w:rPr>
        <w:rFonts w:ascii="Arial" w:cs="Arial" w:eastAsia="Arial" w:hAnsi="Arial"/>
        <w:b w:val="0"/>
        <w:i w:val="0"/>
        <w:smallCaps w:val="0"/>
        <w:strike w:val="0"/>
        <w:color w:val="000000"/>
        <w:sz w:val="28"/>
        <w:szCs w:val="28"/>
        <w:u w:val="none"/>
        <w:shd w:fill="auto" w:val="clear"/>
        <w:vertAlign w:val="baseline"/>
      </w:rPr>
    </w:lvl>
    <w:lvl w:ilvl="5">
      <w:start w:val="1"/>
      <w:numFmt w:val="bullet"/>
      <w:lvlText w:val="■"/>
      <w:lvlJc w:val="right"/>
      <w:pPr>
        <w:ind w:left="4320" w:hanging="360"/>
      </w:pPr>
      <w:rPr>
        <w:rFonts w:ascii="Arial" w:cs="Arial" w:eastAsia="Arial" w:hAnsi="Arial"/>
        <w:b w:val="0"/>
        <w:i w:val="0"/>
        <w:smallCaps w:val="0"/>
        <w:strike w:val="0"/>
        <w:color w:val="000000"/>
        <w:sz w:val="28"/>
        <w:szCs w:val="28"/>
        <w:u w:val="none"/>
        <w:shd w:fill="auto" w:val="clear"/>
        <w:vertAlign w:val="baseline"/>
      </w:rPr>
    </w:lvl>
    <w:lvl w:ilvl="6">
      <w:start w:val="1"/>
      <w:numFmt w:val="bullet"/>
      <w:lvlText w:val="●"/>
      <w:lvlJc w:val="right"/>
      <w:pPr>
        <w:ind w:left="5040" w:hanging="360"/>
      </w:pPr>
      <w:rPr>
        <w:rFonts w:ascii="Arial" w:cs="Arial" w:eastAsia="Arial" w:hAnsi="Arial"/>
        <w:b w:val="0"/>
        <w:i w:val="0"/>
        <w:smallCaps w:val="0"/>
        <w:strike w:val="0"/>
        <w:color w:val="000000"/>
        <w:sz w:val="28"/>
        <w:szCs w:val="28"/>
        <w:u w:val="none"/>
        <w:shd w:fill="auto" w:val="clear"/>
        <w:vertAlign w:val="baseline"/>
      </w:rPr>
    </w:lvl>
    <w:lvl w:ilvl="7">
      <w:start w:val="1"/>
      <w:numFmt w:val="bullet"/>
      <w:lvlText w:val="○"/>
      <w:lvlJc w:val="right"/>
      <w:pPr>
        <w:ind w:left="5760" w:hanging="360"/>
      </w:pPr>
      <w:rPr>
        <w:rFonts w:ascii="Arial" w:cs="Arial" w:eastAsia="Arial" w:hAnsi="Arial"/>
        <w:b w:val="0"/>
        <w:i w:val="0"/>
        <w:smallCaps w:val="0"/>
        <w:strike w:val="0"/>
        <w:color w:val="000000"/>
        <w:sz w:val="28"/>
        <w:szCs w:val="28"/>
        <w:u w:val="none"/>
        <w:shd w:fill="auto" w:val="clear"/>
        <w:vertAlign w:val="baseline"/>
      </w:rPr>
    </w:lvl>
    <w:lvl w:ilvl="8">
      <w:start w:val="1"/>
      <w:numFmt w:val="bullet"/>
      <w:lvlText w:val="■"/>
      <w:lvlJc w:val="right"/>
      <w:pPr>
        <w:ind w:left="6480" w:hanging="360"/>
      </w:pPr>
      <w:rPr>
        <w:rFonts w:ascii="Arial" w:cs="Arial" w:eastAsia="Arial" w:hAnsi="Arial"/>
        <w:b w:val="0"/>
        <w:i w:val="0"/>
        <w:smallCaps w:val="0"/>
        <w:strike w:val="0"/>
        <w:color w:val="000000"/>
        <w:sz w:val="28"/>
        <w:szCs w:val="28"/>
        <w:u w:val="none"/>
        <w:shd w:fill="auto" w:val="clear"/>
        <w:vertAlign w:val="baseli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OpenSans-regular.ttf"/><Relationship Id="rId2" Type="http://schemas.openxmlformats.org/officeDocument/2006/relationships/font" Target="fonts/OpenSans-bold.ttf"/><Relationship Id="rId3" Type="http://schemas.openxmlformats.org/officeDocument/2006/relationships/font" Target="fonts/OpenSans-italic.ttf"/><Relationship Id="rId4" Type="http://schemas.openxmlformats.org/officeDocument/2006/relationships/font" Target="fonts/Open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